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-56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C223B0" w:rsidRPr="000D7D82" w14:paraId="4C853F3A" w14:textId="77777777" w:rsidTr="007D3051">
        <w:tc>
          <w:tcPr>
            <w:tcW w:w="10080" w:type="dxa"/>
            <w:shd w:val="clear" w:color="auto" w:fill="auto"/>
          </w:tcPr>
          <w:p w14:paraId="4C853F39" w14:textId="77777777" w:rsidR="00C223B0" w:rsidRPr="007D3051" w:rsidRDefault="0069601F" w:rsidP="007D305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jc w:val="both"/>
              <w:rPr>
                <w:rFonts w:cs="Arial"/>
                <w:b/>
                <w:iCs/>
                <w:color w:val="000000" w:themeColor="text1"/>
                <w:sz w:val="24"/>
                <w:szCs w:val="24"/>
                <w:lang w:val="nl-BE"/>
              </w:rPr>
            </w:pPr>
            <w:bookmarkStart w:id="0" w:name="_GoBack"/>
            <w:bookmarkEnd w:id="0"/>
            <w:r w:rsidRPr="007D3051">
              <w:rPr>
                <w:rFonts w:cs="Arial"/>
                <w:b/>
                <w:iCs/>
                <w:color w:val="000000" w:themeColor="text1"/>
                <w:sz w:val="24"/>
                <w:szCs w:val="24"/>
                <w:lang w:val="nl-BE"/>
              </w:rPr>
              <w:t>INLEIDING</w:t>
            </w:r>
            <w:r w:rsidR="003D1B36" w:rsidRPr="007D3051">
              <w:rPr>
                <w:rFonts w:cs="Arial"/>
                <w:b/>
                <w:iCs/>
                <w:color w:val="000000" w:themeColor="text1"/>
                <w:sz w:val="24"/>
                <w:szCs w:val="24"/>
                <w:lang w:val="nl-BE"/>
              </w:rPr>
              <w:t xml:space="preserve"> METINGEN</w:t>
            </w:r>
          </w:p>
        </w:tc>
      </w:tr>
      <w:tr w:rsidR="00C223B0" w:rsidRPr="007D3051" w14:paraId="4C853F3C" w14:textId="77777777" w:rsidTr="007D3051">
        <w:tc>
          <w:tcPr>
            <w:tcW w:w="10080" w:type="dxa"/>
            <w:shd w:val="clear" w:color="auto" w:fill="auto"/>
          </w:tcPr>
          <w:p w14:paraId="4C853F3B" w14:textId="77777777" w:rsidR="003D1B36" w:rsidRPr="007D3051" w:rsidRDefault="00976AE5" w:rsidP="007D305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Het spreekwoord “</w:t>
            </w:r>
            <w:r w:rsidR="003D1B36"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Meten</w:t>
            </w:r>
            <w:r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is</w:t>
            </w:r>
            <w:r w:rsidR="003D1B36"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weten</w:t>
            </w:r>
            <w:r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en gissen is missen” spreekt voor </w:t>
            </w:r>
            <w:r w:rsidR="005B7C1E"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zich. </w:t>
            </w:r>
            <w:r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Als er voor een bepaald werk metingen nodig zijn,</w:t>
            </w:r>
            <w:r w:rsidR="007316EC"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bv. werken in een gevaarlijke atmosfeer of werken die zelf een gevaarlijk atmosfeer kunnen creëren (gassen),</w:t>
            </w:r>
            <w:r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is het belangrijk dat deze op een correcte wijze gebeuren met de juiste middelen.</w:t>
            </w:r>
          </w:p>
        </w:tc>
      </w:tr>
    </w:tbl>
    <w:p w14:paraId="4C853F3D" w14:textId="7EE478D6" w:rsidR="00C223B0" w:rsidRPr="009D5E3A" w:rsidRDefault="00C223B0">
      <w:pPr>
        <w:autoSpaceDE w:val="0"/>
        <w:autoSpaceDN w:val="0"/>
        <w:adjustRightInd w:val="0"/>
        <w:rPr>
          <w:rFonts w:cs="Arial"/>
          <w:iCs/>
          <w:sz w:val="16"/>
          <w:szCs w:val="16"/>
          <w:lang w:val="nl-BE"/>
        </w:rPr>
      </w:pPr>
    </w:p>
    <w:tbl>
      <w:tblPr>
        <w:tblW w:w="10080" w:type="dxa"/>
        <w:tblInd w:w="-56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60"/>
        <w:gridCol w:w="720"/>
      </w:tblGrid>
      <w:tr w:rsidR="00E66BCC" w:rsidRPr="000D7D82" w14:paraId="4C853F3F" w14:textId="77777777" w:rsidTr="007D3051">
        <w:tc>
          <w:tcPr>
            <w:tcW w:w="1008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auto"/>
          </w:tcPr>
          <w:p w14:paraId="4C853F3E" w14:textId="77777777" w:rsidR="00E66BCC" w:rsidRPr="00081F67" w:rsidRDefault="00E66BCC" w:rsidP="00065E6B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rFonts w:cs="Arial"/>
                <w:b/>
                <w:iCs/>
                <w:sz w:val="24"/>
                <w:szCs w:val="24"/>
                <w:lang w:val="nl-BE"/>
              </w:rPr>
            </w:pPr>
            <w:r>
              <w:rPr>
                <w:rFonts w:cs="Arial"/>
                <w:b/>
                <w:iCs/>
                <w:sz w:val="24"/>
                <w:szCs w:val="24"/>
                <w:lang w:val="nl-BE"/>
              </w:rPr>
              <w:t>EISEN</w:t>
            </w:r>
            <w:r w:rsidR="007C5D48">
              <w:rPr>
                <w:rFonts w:cs="Arial"/>
                <w:b/>
                <w:iCs/>
                <w:sz w:val="24"/>
                <w:szCs w:val="24"/>
                <w:lang w:val="nl-BE"/>
              </w:rPr>
              <w:t xml:space="preserve"> VOOR METINGEN</w:t>
            </w:r>
          </w:p>
        </w:tc>
      </w:tr>
      <w:tr w:rsidR="00CE2E1E" w:rsidRPr="000D7D82" w14:paraId="4C853F41" w14:textId="77777777" w:rsidTr="007D3051">
        <w:tc>
          <w:tcPr>
            <w:tcW w:w="10080" w:type="dxa"/>
            <w:gridSpan w:val="2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C853F40" w14:textId="77777777" w:rsidR="00CE2E1E" w:rsidRPr="000D7D82" w:rsidRDefault="003B0114" w:rsidP="003B0114">
            <w:pPr>
              <w:autoSpaceDE w:val="0"/>
              <w:autoSpaceDN w:val="0"/>
              <w:adjustRightInd w:val="0"/>
              <w:spacing w:before="60"/>
              <w:jc w:val="right"/>
              <w:rPr>
                <w:rFonts w:cs="Arial"/>
                <w:iCs/>
                <w:sz w:val="20"/>
                <w:szCs w:val="20"/>
                <w:lang w:val="nl-BE"/>
              </w:rPr>
            </w:pPr>
            <w:r w:rsidRPr="003B0114">
              <w:rPr>
                <w:rFonts w:cs="Arial"/>
                <w:b/>
                <w:iCs/>
                <w:sz w:val="20"/>
                <w:szCs w:val="20"/>
                <w:lang w:val="nl-BE"/>
              </w:rPr>
              <w:t>CHECK</w:t>
            </w:r>
          </w:p>
        </w:tc>
      </w:tr>
      <w:tr w:rsidR="00F64162" w:rsidRPr="000D7D82" w14:paraId="4C853F44" w14:textId="77777777" w:rsidTr="007D3051">
        <w:tc>
          <w:tcPr>
            <w:tcW w:w="9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C853F42" w14:textId="77777777" w:rsidR="00F64162" w:rsidRPr="00110DB9" w:rsidRDefault="00F64162" w:rsidP="00F6416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b/>
                <w:iCs/>
                <w:sz w:val="20"/>
                <w:szCs w:val="20"/>
                <w:lang w:val="nl-BE"/>
              </w:rPr>
              <w:t>ALGEMENE RICHTLIJNEN MEETAPPARATUUR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4C853F43" w14:textId="77777777" w:rsidR="00F64162" w:rsidRPr="000D7D82" w:rsidRDefault="00F64162" w:rsidP="00F6416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F64162" w:rsidRPr="007D3051" w14:paraId="4C853F47" w14:textId="77777777" w:rsidTr="007D3051">
        <w:tc>
          <w:tcPr>
            <w:tcW w:w="936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C853F45" w14:textId="77777777" w:rsidR="00F64162" w:rsidRDefault="00F64162" w:rsidP="00F83E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Enkel toegelaten, geijkte en gecontroleerde meetapparatuur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C853F46" w14:textId="77777777" w:rsidR="00F64162" w:rsidRPr="000D7D82" w:rsidRDefault="00F64162" w:rsidP="007E532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F64162" w:rsidRPr="007D3051" w14:paraId="4C853F4A" w14:textId="77777777" w:rsidTr="007D3051">
        <w:tc>
          <w:tcPr>
            <w:tcW w:w="9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C853F48" w14:textId="77777777" w:rsidR="00F64162" w:rsidRPr="000A25F3" w:rsidRDefault="00F64162" w:rsidP="00F83E3D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jc w:val="both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geldig en door de</w:t>
            </w:r>
            <w:r w:rsidR="00ED31C9">
              <w:rPr>
                <w:rFonts w:cs="Arial"/>
                <w:iCs/>
                <w:sz w:val="20"/>
                <w:szCs w:val="20"/>
                <w:lang w:val="nl-BE"/>
              </w:rPr>
              <w:t xml:space="preserve"> wet/overheid/leverancier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 aangewezen instantie</w:t>
            </w:r>
            <w:r w:rsidR="00ED31C9">
              <w:rPr>
                <w:rFonts w:cs="Arial"/>
                <w:iCs/>
                <w:sz w:val="20"/>
                <w:szCs w:val="20"/>
                <w:lang w:val="nl-BE"/>
              </w:rPr>
              <w:t xml:space="preserve"> 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auto"/>
          </w:tcPr>
          <w:p w14:paraId="4C853F49" w14:textId="77777777" w:rsidR="00F64162" w:rsidRPr="000D7D82" w:rsidRDefault="00F64162" w:rsidP="00F6416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F64162" w:rsidRPr="007D3051" w14:paraId="4C853F4D" w14:textId="77777777" w:rsidTr="007D3051">
        <w:tc>
          <w:tcPr>
            <w:tcW w:w="936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C853F4B" w14:textId="77777777" w:rsidR="00F64162" w:rsidRDefault="00F64162" w:rsidP="00F83E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Enkel door daartoe opgeleide personen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C853F4C" w14:textId="77777777" w:rsidR="00F64162" w:rsidRPr="000D7D82" w:rsidRDefault="00F64162" w:rsidP="007E532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F64162" w:rsidRPr="007D3051" w14:paraId="4C853F50" w14:textId="77777777" w:rsidTr="007D3051">
        <w:tc>
          <w:tcPr>
            <w:tcW w:w="9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C853F4E" w14:textId="77777777" w:rsidR="00F64162" w:rsidRPr="000A25F3" w:rsidRDefault="00F64162" w:rsidP="00F83E3D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jc w:val="both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de metingen moet correct uitgevoerd worden en de waarnemingen op een juiste wijze geïnterpreteerd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auto"/>
          </w:tcPr>
          <w:p w14:paraId="4C853F4F" w14:textId="77777777" w:rsidR="00F64162" w:rsidRPr="000D7D82" w:rsidRDefault="00F64162" w:rsidP="00F6416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F64162" w:rsidRPr="007D3051" w14:paraId="4C853F53" w14:textId="77777777" w:rsidTr="007D3051">
        <w:tc>
          <w:tcPr>
            <w:tcW w:w="936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C853F51" w14:textId="77777777" w:rsidR="00F64162" w:rsidRDefault="00F64162" w:rsidP="00F83E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Controle van apparatuur voor iedere meting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C853F52" w14:textId="77777777" w:rsidR="00F64162" w:rsidRPr="000D7D82" w:rsidRDefault="00F64162" w:rsidP="007E532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F64162" w:rsidRPr="007D3051" w14:paraId="4C853F56" w14:textId="77777777" w:rsidTr="007D3051">
        <w:tc>
          <w:tcPr>
            <w:tcW w:w="9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C853F54" w14:textId="259C61FD" w:rsidR="00F64162" w:rsidRDefault="00BA44CB" w:rsidP="00F6416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 w:rsidRPr="00BA44CB"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5B060C11" wp14:editId="6950ECDD">
                  <wp:simplePos x="0" y="0"/>
                  <wp:positionH relativeFrom="column">
                    <wp:posOffset>4726109</wp:posOffset>
                  </wp:positionH>
                  <wp:positionV relativeFrom="paragraph">
                    <wp:posOffset>-220589</wp:posOffset>
                  </wp:positionV>
                  <wp:extent cx="942535" cy="945614"/>
                  <wp:effectExtent l="0" t="0" r="0" b="6985"/>
                  <wp:wrapNone/>
                  <wp:docPr id="8" name="Picture 8" descr="Stickers pictogrammen explosie, zuurstof en toximeter verplicht ...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ickers pictogrammen explosie, zuurstof en toximeter verplicht ...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3" cy="954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4C853F55" w14:textId="77777777" w:rsidR="00F64162" w:rsidRPr="000D7D82" w:rsidRDefault="00F64162" w:rsidP="00F6416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F64162" w:rsidRPr="000D7D82" w14:paraId="4C853F59" w14:textId="77777777" w:rsidTr="007D3051">
        <w:tc>
          <w:tcPr>
            <w:tcW w:w="9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C853F57" w14:textId="7B67FB80" w:rsidR="00F64162" w:rsidRPr="00110DB9" w:rsidRDefault="00BA44CB" w:rsidP="00F6416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sz w:val="20"/>
                <w:szCs w:val="20"/>
                <w:lang w:val="nl-BE"/>
              </w:rPr>
            </w:pPr>
            <w:r w:rsidRPr="000A499B"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0C45D40A" wp14:editId="5993A282">
                  <wp:simplePos x="0" y="0"/>
                  <wp:positionH relativeFrom="column">
                    <wp:posOffset>3529330</wp:posOffset>
                  </wp:positionH>
                  <wp:positionV relativeFrom="paragraph">
                    <wp:posOffset>-500283</wp:posOffset>
                  </wp:positionV>
                  <wp:extent cx="829556" cy="1118382"/>
                  <wp:effectExtent l="0" t="0" r="8890" b="5715"/>
                  <wp:wrapNone/>
                  <wp:docPr id="4" name="Picture 4" descr="Greisinger GOX 100 Zuurstofmeter 0 - 100 % | Conrad.be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eisinger GOX 100 Zuurstofmeter 0 - 100 % | Conrad.be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556" cy="1118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4162">
              <w:rPr>
                <w:rFonts w:cs="Arial"/>
                <w:b/>
                <w:iCs/>
                <w:sz w:val="20"/>
                <w:szCs w:val="20"/>
                <w:lang w:val="nl-BE"/>
              </w:rPr>
              <w:t>WELKE METINGEN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4C853F58" w14:textId="77777777" w:rsidR="00F64162" w:rsidRPr="000D7D82" w:rsidRDefault="00F64162" w:rsidP="00F6416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F64162" w:rsidRPr="000D7D82" w14:paraId="4C853F5C" w14:textId="77777777" w:rsidTr="007D3051">
        <w:tc>
          <w:tcPr>
            <w:tcW w:w="936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C853F5A" w14:textId="5DC2189E" w:rsidR="00F64162" w:rsidRDefault="00F64162" w:rsidP="007E5320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Zuurstofgehalte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C853F5B" w14:textId="77777777" w:rsidR="00F64162" w:rsidRPr="000D7D82" w:rsidRDefault="00F64162" w:rsidP="007E532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F64162" w:rsidRPr="007D3051" w14:paraId="4C853F60" w14:textId="77777777" w:rsidTr="007D3051">
        <w:tc>
          <w:tcPr>
            <w:tcW w:w="9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C853F5D" w14:textId="1B0DC252" w:rsidR="00F64162" w:rsidRPr="007D3051" w:rsidRDefault="00F64162" w:rsidP="00F64162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met zuurstofmeter</w:t>
            </w:r>
          </w:p>
          <w:p w14:paraId="4C853F5E" w14:textId="13118879" w:rsidR="00F64162" w:rsidRPr="007D3051" w:rsidRDefault="00F64162" w:rsidP="00F83E3D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minima</w:t>
            </w:r>
            <w:r w:rsidR="00844B18"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al toegelaten</w:t>
            </w:r>
            <w:r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concentratie zuurstof: </w:t>
            </w:r>
            <w:r w:rsidR="00ED31C9"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1</w:t>
            </w:r>
            <w:r w:rsidR="008E579E"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8</w:t>
            </w:r>
            <w:r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%</w:t>
            </w:r>
            <w:r w:rsidR="00F83E3D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="008E579E"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(of strenger volgens de lokale wet</w:t>
            </w:r>
            <w:r w:rsidR="00970100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geving</w:t>
            </w:r>
            <w:r w:rsidR="008E579E"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)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4C853F5F" w14:textId="77777777" w:rsidR="00F64162" w:rsidRPr="000D7D82" w:rsidRDefault="00F64162" w:rsidP="00F6416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44B18" w:rsidRPr="007D3051" w14:paraId="4C853F63" w14:textId="77777777" w:rsidTr="007D3051">
        <w:tc>
          <w:tcPr>
            <w:tcW w:w="9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C853F61" w14:textId="0B8F05D3" w:rsidR="00844B18" w:rsidRPr="007D3051" w:rsidRDefault="00970100" w:rsidP="00844B18">
            <w:pPr>
              <w:tabs>
                <w:tab w:val="left" w:pos="1276"/>
              </w:tabs>
              <w:autoSpaceDE w:val="0"/>
              <w:autoSpaceDN w:val="0"/>
              <w:adjustRightInd w:val="0"/>
              <w:spacing w:before="60" w:after="120"/>
              <w:ind w:left="1276" w:hanging="56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ab/>
            </w:r>
            <w:r w:rsidR="00844B18" w:rsidRPr="007D3051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Bv.</w:t>
            </w:r>
            <w:r w:rsidR="00844B18"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:</w:t>
            </w:r>
            <w:r w:rsidR="00844B18"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ab/>
              <w:t>betreden van tanks na ontgassing, bij lassen in besloten ruimte, 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4C853F62" w14:textId="77777777" w:rsidR="00844B18" w:rsidRPr="000D7D82" w:rsidRDefault="00844B18" w:rsidP="00844B18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F64162" w:rsidRPr="00F64162" w14:paraId="4C853F66" w14:textId="77777777" w:rsidTr="007D3051">
        <w:tc>
          <w:tcPr>
            <w:tcW w:w="936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C853F64" w14:textId="77777777" w:rsidR="00F64162" w:rsidRPr="007D3051" w:rsidRDefault="00844B18" w:rsidP="007E5320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Damp- of gasconcentratie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C853F65" w14:textId="77777777" w:rsidR="00F64162" w:rsidRPr="000D7D82" w:rsidRDefault="00F64162" w:rsidP="007E532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44B18" w:rsidRPr="007D3051" w14:paraId="4C853F6A" w14:textId="77777777" w:rsidTr="007D3051">
        <w:tc>
          <w:tcPr>
            <w:tcW w:w="9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C853F67" w14:textId="77777777" w:rsidR="00844B18" w:rsidRPr="007D3051" w:rsidRDefault="00844B18" w:rsidP="00844B18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met explosiemeter</w:t>
            </w:r>
          </w:p>
          <w:p w14:paraId="4C853F68" w14:textId="05E4CC67" w:rsidR="00844B18" w:rsidRPr="007D3051" w:rsidRDefault="00844B18" w:rsidP="00844B18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maximaal toegelaten concentratie: 10 % van de LEL</w:t>
            </w:r>
            <w:r w:rsidR="00970100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(Lower Explosion Limit)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4C853F69" w14:textId="77777777" w:rsidR="00844B18" w:rsidRPr="000D7D82" w:rsidRDefault="00844B18" w:rsidP="00844B1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44B18" w:rsidRPr="007D3051" w14:paraId="4C853F6D" w14:textId="77777777" w:rsidTr="007D3051">
        <w:tc>
          <w:tcPr>
            <w:tcW w:w="9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C853F6B" w14:textId="5131AED1" w:rsidR="00844B18" w:rsidRPr="007D3051" w:rsidRDefault="00970100" w:rsidP="00B42C70">
            <w:pPr>
              <w:tabs>
                <w:tab w:val="left" w:pos="1276"/>
              </w:tabs>
              <w:autoSpaceDE w:val="0"/>
              <w:autoSpaceDN w:val="0"/>
              <w:adjustRightInd w:val="0"/>
              <w:spacing w:before="60" w:after="120"/>
              <w:ind w:left="1276" w:hanging="56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ab/>
            </w:r>
            <w:r w:rsidR="00844B18" w:rsidRPr="007D3051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Bv.</w:t>
            </w:r>
            <w:r w:rsidR="00844B18"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:</w:t>
            </w:r>
            <w:r w:rsidR="00844B18"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ab/>
              <w:t>bij werken in explosiezones</w:t>
            </w:r>
            <w:r w:rsidR="00B42C70"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op depots</w:t>
            </w:r>
            <w:r w:rsidR="00844B18"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, </w:t>
            </w:r>
            <w:r w:rsidR="00B42C70"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in pompen op stations, </w:t>
            </w:r>
            <w:r w:rsidR="00844B18"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4C853F6C" w14:textId="77777777" w:rsidR="00844B18" w:rsidRPr="000D7D82" w:rsidRDefault="00844B18" w:rsidP="00844B18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44B18" w:rsidRPr="00F64162" w14:paraId="4C853F70" w14:textId="77777777" w:rsidTr="007D3051">
        <w:tc>
          <w:tcPr>
            <w:tcW w:w="936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C853F6E" w14:textId="77777777" w:rsidR="00844B18" w:rsidRPr="007D3051" w:rsidRDefault="00844B18" w:rsidP="007E5320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Giftige stoffen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C853F6F" w14:textId="77777777" w:rsidR="00844B18" w:rsidRPr="000D7D82" w:rsidRDefault="00844B18" w:rsidP="007E532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44B18" w:rsidRPr="00BA44CB" w14:paraId="4C853F76" w14:textId="77777777" w:rsidTr="007D3051">
        <w:tc>
          <w:tcPr>
            <w:tcW w:w="9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C853F71" w14:textId="7A0C7146" w:rsidR="00844B18" w:rsidRPr="007D3051" w:rsidRDefault="00BA44CB" w:rsidP="00844B18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6AF2D6D0" wp14:editId="36F381AA">
                  <wp:simplePos x="0" y="0"/>
                  <wp:positionH relativeFrom="column">
                    <wp:posOffset>4380670</wp:posOffset>
                  </wp:positionH>
                  <wp:positionV relativeFrom="paragraph">
                    <wp:posOffset>-313299</wp:posOffset>
                  </wp:positionV>
                  <wp:extent cx="1365885" cy="1061085"/>
                  <wp:effectExtent l="0" t="0" r="5715" b="571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1061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44B18"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met gas-identificatie buisjes of speciale meters</w:t>
            </w:r>
          </w:p>
          <w:p w14:paraId="4C853F72" w14:textId="4D8AACF1" w:rsidR="00844B18" w:rsidRPr="007D3051" w:rsidRDefault="00844B18" w:rsidP="00844B18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maximaal toegelaten concentratie: </w:t>
            </w:r>
          </w:p>
          <w:p w14:paraId="4C853F73" w14:textId="23C4B836" w:rsidR="00844B18" w:rsidRPr="00541A6F" w:rsidRDefault="00844B18" w:rsidP="00844B18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algemeen </w:t>
            </w:r>
            <w:r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sym w:font="Wingdings" w:char="F0E0"/>
            </w:r>
            <w:r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50 %</w:t>
            </w:r>
            <w:r w:rsidR="00060F2C"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van de</w:t>
            </w:r>
            <w:r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MAC-waarde</w:t>
            </w:r>
            <w:r w:rsidR="00BA44CB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br/>
            </w:r>
            <w:r w:rsidR="00970100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(</w:t>
            </w:r>
            <w:r w:rsidR="00970100" w:rsidRPr="00541A6F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Maximum Allowable Concentratie)</w:t>
            </w:r>
          </w:p>
          <w:p w14:paraId="4C853F74" w14:textId="3B7A1368" w:rsidR="00844B18" w:rsidRPr="00BA44CB" w:rsidRDefault="00844B18" w:rsidP="00970100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541A6F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voor CO </w:t>
            </w:r>
            <w:r w:rsidRPr="00541A6F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sym w:font="Wingdings" w:char="F0E0"/>
            </w:r>
            <w:r w:rsidRPr="00541A6F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10 </w:t>
            </w:r>
            <w:r w:rsidR="00970100" w:rsidRPr="00541A6F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PPM (Parts Per Million)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4C853F75" w14:textId="77777777" w:rsidR="00844B18" w:rsidRPr="00BA44CB" w:rsidRDefault="00844B18" w:rsidP="00844B1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44B18" w:rsidRPr="007D3051" w14:paraId="4C853F79" w14:textId="77777777" w:rsidTr="007D3051">
        <w:tc>
          <w:tcPr>
            <w:tcW w:w="9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C853F77" w14:textId="0D5FF446" w:rsidR="00844B18" w:rsidRPr="007D3051" w:rsidRDefault="00970100" w:rsidP="00844B18">
            <w:pPr>
              <w:tabs>
                <w:tab w:val="left" w:pos="1276"/>
              </w:tabs>
              <w:autoSpaceDE w:val="0"/>
              <w:autoSpaceDN w:val="0"/>
              <w:adjustRightInd w:val="0"/>
              <w:spacing w:before="60" w:after="120"/>
              <w:ind w:left="1276" w:hanging="56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A44CB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ab/>
            </w:r>
            <w:r w:rsidR="00844B18" w:rsidRPr="007D3051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Bv.</w:t>
            </w:r>
            <w:r w:rsidR="00844B18"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:</w:t>
            </w:r>
            <w:r w:rsidR="00844B18"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ab/>
              <w:t>bij lassen in besloten</w:t>
            </w:r>
            <w:r w:rsidR="009D5E3A"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="00844B18" w:rsidRPr="007D3051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ruimtes, uitgravingen van verontreinigde grond…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C853F78" w14:textId="77777777" w:rsidR="00844B18" w:rsidRPr="000D7D82" w:rsidRDefault="00844B18" w:rsidP="00844B18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9D5E3A" w:rsidRPr="00BA44CB" w14:paraId="4C853F7C" w14:textId="77777777" w:rsidTr="007D3051">
        <w:tc>
          <w:tcPr>
            <w:tcW w:w="9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C853F7A" w14:textId="3E299573" w:rsidR="009D5E3A" w:rsidRPr="00BA44CB" w:rsidRDefault="009D5E3A" w:rsidP="009D5E3A">
            <w:pPr>
              <w:autoSpaceDE w:val="0"/>
              <w:autoSpaceDN w:val="0"/>
              <w:adjustRightInd w:val="0"/>
              <w:rPr>
                <w:rFonts w:cs="Arial"/>
                <w:iCs/>
                <w:sz w:val="16"/>
                <w:szCs w:val="16"/>
                <w:lang w:val="nl-B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C853F7B" w14:textId="77777777" w:rsidR="009D5E3A" w:rsidRPr="00BA44CB" w:rsidRDefault="009D5E3A" w:rsidP="009D5E3A">
            <w:pPr>
              <w:autoSpaceDE w:val="0"/>
              <w:autoSpaceDN w:val="0"/>
              <w:adjustRightInd w:val="0"/>
              <w:rPr>
                <w:rFonts w:cs="Arial"/>
                <w:iCs/>
                <w:sz w:val="16"/>
                <w:szCs w:val="16"/>
                <w:lang w:val="nl-BE"/>
              </w:rPr>
            </w:pPr>
          </w:p>
        </w:tc>
      </w:tr>
      <w:tr w:rsidR="00F64162" w:rsidRPr="00F64162" w14:paraId="4C853F7F" w14:textId="77777777" w:rsidTr="007D3051">
        <w:tc>
          <w:tcPr>
            <w:tcW w:w="9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C853F7D" w14:textId="4F0CDA06" w:rsidR="00F64162" w:rsidRPr="00FC5234" w:rsidRDefault="00844B18" w:rsidP="00F6416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b/>
                <w:iCs/>
                <w:sz w:val="20"/>
                <w:szCs w:val="20"/>
                <w:lang w:val="nl-BE"/>
              </w:rPr>
              <w:t>FREQUENTIE VAN METINGEN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4C853F7E" w14:textId="77777777" w:rsidR="00F64162" w:rsidRPr="000D7D82" w:rsidRDefault="00F64162" w:rsidP="00F6416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9D5E3A" w:rsidRPr="007D3051" w14:paraId="4C853F82" w14:textId="77777777" w:rsidTr="007D3051">
        <w:tc>
          <w:tcPr>
            <w:tcW w:w="936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C853F80" w14:textId="77777777" w:rsidR="009D5E3A" w:rsidRDefault="009D5E3A" w:rsidP="007E5320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Steeds VÓÓR AANVANG van de werken / betreding / toegang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C853F81" w14:textId="77777777" w:rsidR="009D5E3A" w:rsidRPr="000D7D82" w:rsidRDefault="009D5E3A" w:rsidP="007E532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9D5E3A" w:rsidRPr="00F64162" w14:paraId="4C853F85" w14:textId="77777777" w:rsidTr="007D3051">
        <w:tc>
          <w:tcPr>
            <w:tcW w:w="936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C853F83" w14:textId="77777777" w:rsidR="009D5E3A" w:rsidRDefault="009D5E3A" w:rsidP="007E5320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CONTINU, als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C853F84" w14:textId="77777777" w:rsidR="009D5E3A" w:rsidRPr="000D7D82" w:rsidRDefault="009D5E3A" w:rsidP="007E532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9D5E3A" w:rsidRPr="007D3051" w14:paraId="4C853F89" w14:textId="77777777" w:rsidTr="007D3051">
        <w:tc>
          <w:tcPr>
            <w:tcW w:w="93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C853F86" w14:textId="77777777" w:rsidR="009D5E3A" w:rsidRDefault="009D5E3A" w:rsidP="009D5E3A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de stoffen vrijkomen door de werken</w:t>
            </w:r>
          </w:p>
          <w:p w14:paraId="4C853F87" w14:textId="77777777" w:rsidR="009D5E3A" w:rsidRPr="000A25F3" w:rsidRDefault="009D5E3A" w:rsidP="009D5E3A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er geen zekerheid</w:t>
            </w:r>
            <w:r w:rsidR="00065E6B">
              <w:rPr>
                <w:rFonts w:cs="Arial"/>
                <w:iCs/>
                <w:sz w:val="20"/>
                <w:szCs w:val="20"/>
                <w:lang w:val="nl-BE"/>
              </w:rPr>
              <w:t xml:space="preserve"> over de aanwezigheid van stoffen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 bestaat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4C853F88" w14:textId="77777777" w:rsidR="009D5E3A" w:rsidRPr="000D7D82" w:rsidRDefault="009D5E3A" w:rsidP="009D5E3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44B18" w:rsidRPr="007D3051" w14:paraId="4C853F8C" w14:textId="77777777" w:rsidTr="007D3051">
        <w:tc>
          <w:tcPr>
            <w:tcW w:w="936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4C853F8A" w14:textId="77777777" w:rsidR="00844B18" w:rsidRPr="009D5E3A" w:rsidRDefault="00844B18" w:rsidP="009D5E3A">
            <w:pPr>
              <w:pStyle w:val="ListParagraph"/>
              <w:ind w:left="1440" w:hanging="360"/>
              <w:rPr>
                <w:rFonts w:cs="Arial"/>
                <w:iCs/>
                <w:sz w:val="20"/>
                <w:szCs w:val="20"/>
                <w:lang w:val="nl-N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853F8B" w14:textId="77777777" w:rsidR="00844B18" w:rsidRPr="000D7D82" w:rsidRDefault="00844B18" w:rsidP="009D5E3A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</w:tbl>
    <w:p w14:paraId="4C853FB3" w14:textId="77777777" w:rsidR="00E848A8" w:rsidRDefault="00222CEE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4C853FB4" w14:textId="77777777" w:rsidR="00E848A8" w:rsidRDefault="00222CEE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4C853FB5" w14:textId="77777777" w:rsidR="00E848A8" w:rsidRDefault="00222CEE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4C853FB6" w14:textId="77777777" w:rsidR="00E848A8" w:rsidRDefault="00222CEE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4C853FB7" w14:textId="6C7D0FE0" w:rsidR="00E848A8" w:rsidRPr="00E848A8" w:rsidRDefault="00222CEE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</w:p>
    <w:p w14:paraId="4C853FB8" w14:textId="77777777" w:rsidR="00FF76DD" w:rsidRPr="00ED3189" w:rsidRDefault="00222CEE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4C853FB9" w14:textId="77777777" w:rsidR="00FF76DD" w:rsidRDefault="00222CEE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4C853FC4" w14:textId="77777777" w:rsidR="009A78D1" w:rsidRPr="001F3AAC" w:rsidRDefault="00222CEE" w:rsidP="00ED029D">
      <w:pPr>
        <w:rPr>
          <w:rFonts w:ascii="Calibri" w:hAnsi="Calibri" w:cs="Arial"/>
          <w:bCs/>
          <w:iCs/>
        </w:rPr>
      </w:pPr>
      <w:bookmarkStart w:id="1" w:name="DocumentToAdd"/>
      <w:bookmarkEnd w:id="1"/>
    </w:p>
    <w:p w14:paraId="7593F1B9" w14:textId="77777777" w:rsidR="007828D3" w:rsidRDefault="00222CEE">
      <w:pPr>
        <w:rPr>
          <w:rFonts w:cs="Arial"/>
          <w:lang w:val="en-US" w:eastAsia="en-US"/>
        </w:rPr>
      </w:pPr>
      <w:r>
        <w:rPr>
          <w:rFonts w:cs="Arial"/>
          <w:lang w:val="en-US" w:eastAsia="en-US"/>
        </w:rPr>
        <w:br w:type="page"/>
      </w:r>
    </w:p>
    <w:p w14:paraId="47AD2BCF" w14:textId="77777777" w:rsidR="00AF2BCB" w:rsidRDefault="00222CEE" w:rsidP="00397FD7">
      <w:pPr>
        <w:jc w:val="center"/>
        <w:rPr>
          <w:rFonts w:cs="Arial"/>
          <w:lang w:val="en-US" w:eastAsia="en-US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4307F" w14:textId="77777777" w:rsidR="00AF2BCB" w:rsidRPr="006F24BC" w:rsidRDefault="00222CEE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AE2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35pt;margin-top:6.9pt;width:408.4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">
                <v:textbox>
                  <w:txbxContent>
                    <w:p w14:paraId="5894307F" w14:textId="77777777" w:rsidR="00AF2BCB" w:rsidRPr="006F24BC" w:rsidRDefault="00222CEE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597689BA" w14:textId="77777777" w:rsidR="00AF2BCB" w:rsidRDefault="00222CEE" w:rsidP="00397FD7">
      <w:pPr>
        <w:jc w:val="center"/>
        <w:rPr>
          <w:rFonts w:cs="Arial"/>
          <w:lang w:val="en-US" w:eastAsia="en-US"/>
        </w:rPr>
      </w:pPr>
    </w:p>
    <w:p w14:paraId="338E8322" w14:textId="77777777" w:rsidR="00AF2BCB" w:rsidRDefault="00222CEE" w:rsidP="00397FD7">
      <w:pPr>
        <w:jc w:val="center"/>
        <w:rPr>
          <w:rFonts w:cs="Arial"/>
          <w:lang w:val="en-US" w:eastAsia="en-US"/>
        </w:rPr>
      </w:pPr>
    </w:p>
    <w:p w14:paraId="7D496BAA" w14:textId="77777777" w:rsidR="00AF2BCB" w:rsidRDefault="00222CEE" w:rsidP="00397FD7">
      <w:pPr>
        <w:jc w:val="center"/>
        <w:rPr>
          <w:rFonts w:cs="Arial"/>
          <w:lang w:val="en-US" w:eastAsia="en-US"/>
        </w:rPr>
      </w:pPr>
    </w:p>
    <w:p w14:paraId="04B4616E" w14:textId="77777777" w:rsidR="00AF2BCB" w:rsidRPr="00397FD7" w:rsidRDefault="00222CEE" w:rsidP="00397FD7">
      <w:pPr>
        <w:jc w:val="center"/>
        <w:rPr>
          <w:rFonts w:cs="Arial"/>
          <w:lang w:val="en-US" w:eastAsia="en-US"/>
        </w:rPr>
      </w:pPr>
    </w:p>
    <w:p w14:paraId="170A786E" w14:textId="77777777" w:rsidR="00767A51" w:rsidRPr="00A75BEC" w:rsidRDefault="00222CEE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TITLE</w:t>
      </w:r>
      <w:r w:rsidRPr="00546671">
        <w:rPr>
          <w:rFonts w:ascii="Calibri" w:hAnsi="Calibri" w:cs="Arial"/>
          <w:lang w:val="es-ES" w:eastAsia="en-US"/>
        </w:rPr>
        <w:t>:</w:t>
      </w:r>
      <w:r w:rsidRPr="00546671">
        <w:rPr>
          <w:rFonts w:ascii="Calibri" w:hAnsi="Calibri" w:cs="Arial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TSR - Metingen / Gevaarlijke atmosferen</w:t>
      </w:r>
    </w:p>
    <w:p w14:paraId="07BAC1AC" w14:textId="77777777" w:rsidR="00397FD7" w:rsidRPr="00A75BEC" w:rsidRDefault="00222CEE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22A48F52" w14:textId="77777777" w:rsidR="00397FD7" w:rsidRPr="00A75BEC" w:rsidRDefault="00222CEE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NUMBER</w:t>
      </w:r>
      <w:r w:rsidRPr="00A75BEC">
        <w:rPr>
          <w:rFonts w:ascii="Calibri" w:hAnsi="Calibri" w:cs="Arial"/>
          <w:lang w:val="es-ES" w:eastAsia="en-US"/>
        </w:rPr>
        <w:t>:</w:t>
      </w:r>
      <w:r w:rsidRPr="00A75BEC">
        <w:rPr>
          <w:rFonts w:ascii="Calibri" w:hAnsi="Calibri" w:cs="Arial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KPNWE.WI.11.HSCO.076</w:t>
      </w:r>
    </w:p>
    <w:p w14:paraId="1E1AFA3C" w14:textId="77777777" w:rsidR="00397FD7" w:rsidRPr="00546671" w:rsidRDefault="00222CEE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0BFE812E" w14:textId="77777777" w:rsidR="00397FD7" w:rsidRPr="004A4248" w:rsidRDefault="00222CEE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>
        <w:rPr>
          <w:rFonts w:ascii="Calibri" w:hAnsi="Calibri" w:cs="Arial"/>
          <w:lang w:val="en-US" w:eastAsia="en-US"/>
        </w:rPr>
        <w:t>REVIEW NUMBER</w:t>
      </w:r>
      <w:r w:rsidRPr="004A4248">
        <w:rPr>
          <w:rFonts w:ascii="Calibri" w:hAnsi="Calibri" w:cs="Arial"/>
          <w:lang w:val="en-US" w:eastAsia="en-US"/>
        </w:rPr>
        <w:t xml:space="preserve">: </w:t>
      </w:r>
      <w:r w:rsidRPr="004A4248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2</w:t>
      </w:r>
    </w:p>
    <w:p w14:paraId="3DAE69B9" w14:textId="77777777" w:rsidR="00397FD7" w:rsidRPr="004A4248" w:rsidRDefault="00222CEE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671AB7E5" w14:textId="77777777" w:rsidR="00397FD7" w:rsidRPr="0075499A" w:rsidRDefault="00222CEE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EFFECTIVE DATE</w:t>
      </w:r>
      <w:r w:rsidRPr="0075499A">
        <w:rPr>
          <w:rFonts w:ascii="Calibri" w:hAnsi="Calibri" w:cs="Arial"/>
          <w:lang w:val="en-US" w:eastAsia="en-US"/>
        </w:rPr>
        <w:t xml:space="preserve">:    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 xml:space="preserve">08 </w:t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Jul 2020</w:t>
      </w:r>
    </w:p>
    <w:p w14:paraId="070DB64B" w14:textId="77777777" w:rsidR="00397FD7" w:rsidRPr="0075499A" w:rsidRDefault="00222CEE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34171684" w14:textId="77777777" w:rsidR="00397FD7" w:rsidRPr="0075499A" w:rsidRDefault="00222CEE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NEXT REVIEW DATE</w:t>
      </w:r>
      <w:r w:rsidRPr="0075499A">
        <w:rPr>
          <w:rFonts w:ascii="Calibri" w:hAnsi="Calibri" w:cs="Arial"/>
          <w:lang w:val="en-US" w:eastAsia="en-US"/>
        </w:rPr>
        <w:t>: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08 Jul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74C7936D" w14:textId="77777777" w:rsidR="00397FD7" w:rsidRPr="00AF2BCB" w:rsidRDefault="00222CEE" w:rsidP="00397FD7">
      <w:pPr>
        <w:jc w:val="center"/>
        <w:rPr>
          <w:rFonts w:ascii="Calibri" w:hAnsi="Calibri" w:cs="Arial"/>
          <w:b/>
          <w:bCs/>
          <w:lang w:val="en-US" w:eastAsia="en-US"/>
        </w:rPr>
      </w:pPr>
      <w:r w:rsidRPr="00AF2BCB">
        <w:rPr>
          <w:rFonts w:ascii="Calibri" w:hAnsi="Calibri" w:cs="Arial"/>
          <w:lang w:val="en-US" w:eastAsia="en-US"/>
        </w:rPr>
        <w:t>..</w:t>
      </w:r>
      <w:r w:rsidRPr="00AF2BCB">
        <w:rPr>
          <w:rFonts w:ascii="Calibri" w:hAnsi="Calibri" w:cs="Arial"/>
          <w:b/>
          <w:bCs/>
          <w:lang w:val="en-US" w:eastAsia="en-US"/>
        </w:rPr>
        <w:t xml:space="preserve"> </w:t>
      </w:r>
    </w:p>
    <w:p w14:paraId="276FB5C2" w14:textId="77777777" w:rsidR="00397FD7" w:rsidRPr="00AF2BCB" w:rsidRDefault="00222CEE" w:rsidP="00397FD7">
      <w:pPr>
        <w:jc w:val="center"/>
        <w:rPr>
          <w:rFonts w:ascii="Calibri" w:hAnsi="Calibri" w:cs="Arial"/>
          <w:b/>
          <w:bCs/>
          <w:lang w:val="en-US" w:eastAsia="en-US"/>
        </w:rPr>
      </w:pPr>
    </w:p>
    <w:p w14:paraId="039CA261" w14:textId="77777777" w:rsidR="0074156E" w:rsidRPr="00DB0FAC" w:rsidRDefault="00222CEE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 w:cs="Arial"/>
          <w:b/>
          <w:lang w:val="en-US" w:eastAsia="en-US"/>
        </w:rPr>
      </w:pPr>
      <w:r w:rsidRPr="00DB0FAC">
        <w:rPr>
          <w:rFonts w:ascii="Calibri" w:hAnsi="Calibri" w:cs="Arial"/>
          <w:b/>
          <w:lang w:val="en-US" w:eastAsia="en-US"/>
        </w:rPr>
        <w:t>CONFIDENTIALITY:</w:t>
      </w:r>
    </w:p>
    <w:p w14:paraId="2B0E20FB" w14:textId="77777777" w:rsidR="0074156E" w:rsidRPr="00DB0FAC" w:rsidRDefault="00222CEE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 w:cs="Arial"/>
          <w:lang w:val="en-US" w:eastAsia="en-US"/>
        </w:rPr>
      </w:pPr>
      <w:r w:rsidRPr="00DB0FAC">
        <w:rPr>
          <w:rFonts w:ascii="Calibri" w:hAnsi="Calibri" w:cs="Arial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>Copyright ©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58140A6F" w14:textId="77777777" w:rsidR="00397FD7" w:rsidRPr="00546671" w:rsidRDefault="00222CEE" w:rsidP="00397FD7">
      <w:pPr>
        <w:rPr>
          <w:rFonts w:ascii="Calibri" w:hAnsi="Calibri" w:cs="Arial"/>
          <w:b/>
          <w:bCs/>
          <w:color w:val="003366"/>
          <w:lang w:val="es-ES" w:eastAsia="en-US"/>
        </w:rPr>
      </w:pPr>
    </w:p>
    <w:p w14:paraId="13E12895" w14:textId="77777777" w:rsidR="00397FD7" w:rsidRPr="004A6E34" w:rsidRDefault="00222CEE" w:rsidP="00397FD7">
      <w:pPr>
        <w:rPr>
          <w:rFonts w:ascii="Calibri" w:hAnsi="Calibri" w:cs="Arial"/>
          <w:b/>
          <w:bCs/>
          <w:lang w:val="en-US" w:eastAsia="en-US"/>
        </w:rPr>
      </w:pPr>
      <w:r w:rsidRPr="004A6E34">
        <w:rPr>
          <w:rFonts w:ascii="Calibri" w:hAnsi="Calibri" w:cs="Arial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 w:eastAsia="en-US"/>
        </w:rPr>
        <w:t xml:space="preserve">according to the released online Document Approval Flow </w:t>
      </w:r>
    </w:p>
    <w:p w14:paraId="3FDE90F4" w14:textId="77777777" w:rsidR="00397FD7" w:rsidRPr="004A6E34" w:rsidRDefault="00222CEE" w:rsidP="00397FD7">
      <w:pPr>
        <w:rPr>
          <w:rFonts w:ascii="Calibri" w:hAnsi="Calibri" w:cs="Arial"/>
          <w:lang w:val="en-US" w:eastAsia="en-US"/>
        </w:rPr>
      </w:pPr>
    </w:p>
    <w:p w14:paraId="586BBCA7" w14:textId="77777777" w:rsidR="00397FD7" w:rsidRPr="004A6E34" w:rsidRDefault="00222CEE" w:rsidP="00397FD7">
      <w:pPr>
        <w:rPr>
          <w:rFonts w:ascii="Calibri" w:hAnsi="Calibri" w:cs="Arial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7D676FD0" w14:textId="77777777" w:rsidTr="009A78D1">
        <w:trPr>
          <w:trHeight w:val="567"/>
        </w:trPr>
        <w:tc>
          <w:tcPr>
            <w:tcW w:w="2028" w:type="dxa"/>
          </w:tcPr>
          <w:p w14:paraId="38312E9B" w14:textId="77777777" w:rsidR="0074156E" w:rsidRPr="00546671" w:rsidRDefault="00222CEE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Prepared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51D5C547" w14:textId="77777777" w:rsidR="0074156E" w:rsidRPr="00C2067C" w:rsidRDefault="00222CEE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HSSE Supervisor</w:t>
            </w:r>
          </w:p>
        </w:tc>
        <w:tc>
          <w:tcPr>
            <w:tcW w:w="5964" w:type="dxa"/>
          </w:tcPr>
          <w:p w14:paraId="10FE0DE3" w14:textId="77777777" w:rsidR="0074156E" w:rsidRPr="00C2067C" w:rsidRDefault="00222CEE" w:rsidP="00EC5FFA">
            <w:pPr>
              <w:jc w:val="both"/>
              <w:rPr>
                <w:rFonts w:ascii="Calibri" w:hAnsi="Calibri" w:cs="Arial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Jan Berghmans</w:t>
            </w:r>
          </w:p>
        </w:tc>
      </w:tr>
      <w:tr w:rsidR="0074156E" w:rsidRPr="00546671" w14:paraId="59B245CE" w14:textId="77777777" w:rsidTr="009A78D1">
        <w:trPr>
          <w:trHeight w:val="567"/>
        </w:trPr>
        <w:tc>
          <w:tcPr>
            <w:tcW w:w="2028" w:type="dxa"/>
          </w:tcPr>
          <w:p w14:paraId="0439812B" w14:textId="77777777" w:rsidR="0074156E" w:rsidRPr="00546671" w:rsidRDefault="00222CEE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Reviewed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2D1CF2D0" w14:textId="77777777" w:rsidR="0074156E" w:rsidRPr="00C2067C" w:rsidRDefault="00222CEE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HSSE Supervisor</w:t>
            </w:r>
          </w:p>
        </w:tc>
        <w:tc>
          <w:tcPr>
            <w:tcW w:w="5964" w:type="dxa"/>
          </w:tcPr>
          <w:p w14:paraId="4A9BE523" w14:textId="77777777" w:rsidR="0074156E" w:rsidRPr="00C2067C" w:rsidRDefault="00222CEE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Jan Berghmans</w:t>
            </w:r>
          </w:p>
        </w:tc>
      </w:tr>
      <w:tr w:rsidR="0074156E" w:rsidRPr="00546671" w14:paraId="13D06D2F" w14:textId="77777777" w:rsidTr="009A78D1">
        <w:trPr>
          <w:trHeight w:val="567"/>
        </w:trPr>
        <w:tc>
          <w:tcPr>
            <w:tcW w:w="2028" w:type="dxa"/>
          </w:tcPr>
          <w:p w14:paraId="272CE4BA" w14:textId="77777777" w:rsidR="0074156E" w:rsidRPr="00546671" w:rsidRDefault="00222CEE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Approved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004F74D6" w14:textId="77777777" w:rsidR="0074156E" w:rsidRPr="001E55B9" w:rsidRDefault="00222CEE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0341F13D" w14:textId="77777777" w:rsidR="0074156E" w:rsidRPr="00546671" w:rsidRDefault="00222CEE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Timmers</w:t>
            </w:r>
          </w:p>
        </w:tc>
      </w:tr>
    </w:tbl>
    <w:p w14:paraId="3DF95285" w14:textId="77777777" w:rsidR="00397FD7" w:rsidRPr="00F81EA5" w:rsidRDefault="00222CEE" w:rsidP="00397FD7">
      <w:pPr>
        <w:rPr>
          <w:rFonts w:ascii="Calibri" w:hAnsi="Calibri" w:cs="Arial"/>
          <w:color w:val="003366"/>
          <w:sz w:val="10"/>
          <w:szCs w:val="10"/>
          <w:lang w:eastAsia="en-US"/>
        </w:rPr>
      </w:pPr>
    </w:p>
    <w:p w14:paraId="20DF8396" w14:textId="77777777" w:rsidR="00FF76DD" w:rsidRPr="00873483" w:rsidRDefault="00222CEE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16"/>
          <w:footerReference w:type="default" r:id="rId17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3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3"/>
    </w:p>
    <w:p w14:paraId="39C7C365" w14:textId="77777777" w:rsidR="00E848A8" w:rsidRDefault="00222CEE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3F9FD27B" w14:textId="77777777" w:rsidR="00E848A8" w:rsidRDefault="00222CEE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715A9BE3" w14:textId="77777777" w:rsidR="00E848A8" w:rsidRDefault="00222CEE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3C1B4030" w14:textId="77777777" w:rsidR="00E848A8" w:rsidRDefault="00222CEE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7C7A3A7D" w14:textId="77777777" w:rsidR="00E848A8" w:rsidRPr="00E848A8" w:rsidRDefault="00222CEE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A32DBB" w14:textId="77777777" w:rsidR="008B032F" w:rsidRPr="000601F7" w:rsidRDefault="00222CEE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BHu5gd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75A32DBB" w14:textId="77777777" w:rsidR="008B032F" w:rsidRPr="000601F7" w:rsidRDefault="00222CEE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7822D16E" w14:textId="77777777" w:rsidR="00FF76DD" w:rsidRPr="00ED3189" w:rsidRDefault="00222CEE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6AC96B42" w14:textId="77777777" w:rsidR="00FF76DD" w:rsidRDefault="00222CEE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3CB5A1D7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4BE62" w14:textId="77777777" w:rsidR="00FF76DD" w:rsidRPr="00546671" w:rsidRDefault="00222CEE" w:rsidP="00310E5B">
            <w:pPr>
              <w:jc w:val="center"/>
              <w:rPr>
                <w:rFonts w:ascii="Calibri" w:hAnsi="Calibri" w:cs="Arial"/>
                <w:b/>
                <w:color w:val="800000"/>
                <w:lang w:val="en-US" w:eastAsia="en-US"/>
              </w:rPr>
            </w:pPr>
            <w:r>
              <w:rPr>
                <w:rFonts w:ascii="Calibri" w:hAnsi="Calibri" w:cs="Arial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895BC" w14:textId="77777777" w:rsidR="00FF76DD" w:rsidRPr="0004563C" w:rsidRDefault="00222CEE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528DC" w14:textId="77777777" w:rsidR="00FF76DD" w:rsidRPr="0004563C" w:rsidRDefault="00222CEE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D586A" w14:textId="77777777" w:rsidR="00FF76DD" w:rsidRPr="0004563C" w:rsidRDefault="00222CEE" w:rsidP="00310E5B">
            <w:pPr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54D8B982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8BF3" w14:textId="77777777" w:rsidR="00FF76DD" w:rsidRPr="0004563C" w:rsidRDefault="00222CEE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BB0C3" w14:textId="77777777" w:rsidR="00FF76DD" w:rsidRPr="0004563C" w:rsidRDefault="00222CEE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E742" w14:textId="77777777" w:rsidR="00FF76DD" w:rsidRPr="0004563C" w:rsidRDefault="00222CEE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C8E37" w14:textId="77777777" w:rsidR="00FF76DD" w:rsidRPr="0004563C" w:rsidRDefault="00222CEE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2548B532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18EDD" w14:textId="77777777" w:rsidR="00FF76DD" w:rsidRPr="0004563C" w:rsidRDefault="00222CEE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15 Feb 2018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27792" w14:textId="77777777" w:rsidR="00FF76DD" w:rsidRPr="0004563C" w:rsidRDefault="00222CEE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1FA39" w14:textId="77777777" w:rsidR="00FF76DD" w:rsidRPr="0004563C" w:rsidRDefault="00222CEE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 xml:space="preserve">Doc title changed from 'TSR - Metingen van gevaarlijke </w:t>
            </w: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stoffen' to 'TSR - Metingen / Gevaarlijke atmosferen'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942E8" w14:textId="77777777" w:rsidR="00FF76DD" w:rsidRPr="0004563C" w:rsidRDefault="00222CEE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</w:t>
            </w:r>
          </w:p>
        </w:tc>
      </w:tr>
      <w:tr w:rsidR="00FF76DD" w:rsidRPr="0004563C" w14:paraId="1387806D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BFCD4" w14:textId="77777777" w:rsidR="00FF76DD" w:rsidRPr="0004563C" w:rsidRDefault="00222CEE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08 Jul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F3DA9" w14:textId="77777777" w:rsidR="00FF76DD" w:rsidRPr="0004563C" w:rsidRDefault="00222CEE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D64EC" w14:textId="77777777" w:rsidR="00FF76DD" w:rsidRPr="0004563C" w:rsidRDefault="00222CEE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minor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57432" w14:textId="77777777" w:rsidR="00FF76DD" w:rsidRPr="0004563C" w:rsidRDefault="00222CEE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2</w:t>
            </w:r>
          </w:p>
        </w:tc>
      </w:tr>
    </w:tbl>
    <w:p w14:paraId="50569C67" w14:textId="77777777" w:rsidR="009A78D1" w:rsidRPr="001F3AAC" w:rsidRDefault="00222CEE" w:rsidP="00ED029D">
      <w:pPr>
        <w:rPr>
          <w:rFonts w:ascii="Calibri" w:hAnsi="Calibri" w:cs="Arial"/>
          <w:bCs/>
          <w:iCs/>
        </w:rPr>
      </w:pPr>
    </w:p>
    <w:sectPr w:rsidR="009A78D1" w:rsidRPr="001F3AAC" w:rsidSect="00065E6B">
      <w:pgSz w:w="11906" w:h="16838"/>
      <w:pgMar w:top="1440" w:right="1800" w:bottom="284" w:left="1800" w:header="570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53F94" w14:textId="77777777" w:rsidR="009D5E3A" w:rsidRDefault="009D5E3A">
      <w:r>
        <w:separator/>
      </w:r>
    </w:p>
  </w:endnote>
  <w:endnote w:type="continuationSeparator" w:id="0">
    <w:p w14:paraId="4C853F95" w14:textId="77777777" w:rsidR="009D5E3A" w:rsidRDefault="009D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99936" w14:textId="77777777" w:rsidR="008B032F" w:rsidRPr="00FA7869" w:rsidRDefault="00222CEE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r>
      <w:rPr>
        <w:rFonts w:cs="Arial"/>
        <w:sz w:val="18"/>
        <w:szCs w:val="18"/>
        <w:lang w:val="es-ES"/>
      </w:rPr>
      <w:t>Document Code</w:t>
    </w:r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KPNWE.WI.11.HSCO.076</w:t>
    </w:r>
    <w:r>
      <w:rPr>
        <w:rFonts w:cs="Arial"/>
        <w:sz w:val="18"/>
        <w:szCs w:val="18"/>
        <w:lang w:val="es-ES"/>
      </w:rPr>
      <w:tab/>
      <w:t>Rev</w:t>
    </w:r>
    <w:r w:rsidRPr="00FA7869">
      <w:rPr>
        <w:rFonts w:cs="Arial"/>
        <w:sz w:val="18"/>
        <w:szCs w:val="18"/>
        <w:lang w:val="es-ES"/>
      </w:rPr>
      <w:t xml:space="preserve">: </w:t>
    </w:r>
    <w:bookmarkStart w:id="2" w:name="RevisionNumber"/>
    <w:r>
      <w:rPr>
        <w:rFonts w:cs="Arial"/>
        <w:noProof/>
        <w:sz w:val="18"/>
        <w:szCs w:val="18"/>
        <w:lang w:val="es-ES"/>
      </w:rPr>
      <w:t>2</w:t>
    </w:r>
    <w:r w:rsidRPr="00FA7869">
      <w:rPr>
        <w:lang w:val="es-ES"/>
      </w:rPr>
      <w:t xml:space="preserve"> </w:t>
    </w:r>
    <w:bookmarkEnd w:id="2"/>
    <w:r w:rsidRPr="00FA7869">
      <w:rPr>
        <w:lang w:val="es-ES"/>
      </w:rPr>
      <w:tab/>
    </w:r>
  </w:p>
  <w:p w14:paraId="5A579D9C" w14:textId="5E71383B" w:rsidR="008B032F" w:rsidRPr="00E848A8" w:rsidRDefault="00222CEE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fr-FR"/>
      </w:rPr>
      <w:t>Approval date</w:t>
    </w:r>
    <w:r w:rsidRPr="00C25966">
      <w:rPr>
        <w:rFonts w:cs="Arial"/>
        <w:sz w:val="18"/>
        <w:szCs w:val="18"/>
        <w:lang w:val="fr-FR"/>
      </w:rPr>
      <w:t xml:space="preserve">: </w:t>
    </w:r>
    <w:r>
      <w:rPr>
        <w:rFonts w:cs="Arial"/>
        <w:noProof/>
        <w:sz w:val="18"/>
        <w:szCs w:val="18"/>
        <w:lang w:val="fr-FR"/>
      </w:rPr>
      <w:t>08 Jul 2020</w:t>
    </w:r>
    <w:r w:rsidRPr="00C25966">
      <w:rPr>
        <w:rFonts w:cs="Arial"/>
        <w:sz w:val="18"/>
        <w:szCs w:val="18"/>
        <w:lang w:val="fr-FR"/>
      </w:rPr>
      <w:tab/>
    </w:r>
    <w:r>
      <w:rPr>
        <w:rFonts w:cs="Arial"/>
        <w:sz w:val="18"/>
        <w:szCs w:val="18"/>
        <w:lang w:val="fr-FR"/>
      </w:rPr>
      <w:t>Next Review D</w:t>
    </w:r>
    <w:r>
      <w:rPr>
        <w:rFonts w:cs="Arial"/>
        <w:sz w:val="18"/>
        <w:szCs w:val="18"/>
        <w:lang w:val="fr-FR"/>
      </w:rPr>
      <w:t xml:space="preserve">ate: </w:t>
    </w:r>
    <w:r>
      <w:rPr>
        <w:rFonts w:cs="Arial"/>
        <w:noProof/>
        <w:sz w:val="18"/>
        <w:szCs w:val="18"/>
        <w:lang w:val="fr-FR"/>
      </w:rPr>
      <w:t>08 Jul 2023</w:t>
    </w:r>
    <w:r w:rsidRPr="00C25966">
      <w:rPr>
        <w:rFonts w:cs="Arial"/>
        <w:sz w:val="18"/>
        <w:szCs w:val="18"/>
        <w:lang w:val="fr-FR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  <w:lang w:val="fr-FR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4</w:t>
    </w:r>
    <w:r w:rsidRPr="009D67FF">
      <w:rPr>
        <w:rFonts w:cs="Arial"/>
        <w:sz w:val="18"/>
        <w:szCs w:val="18"/>
      </w:rPr>
      <w:fldChar w:fldCharType="end"/>
    </w:r>
  </w:p>
  <w:p w14:paraId="6E464036" w14:textId="77777777" w:rsidR="00414BF6" w:rsidRPr="00414BF6" w:rsidRDefault="00222CEE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181A4FF4" w14:textId="77777777" w:rsidR="005A05A8" w:rsidRPr="005A05A8" w:rsidRDefault="00222CEE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53F92" w14:textId="77777777" w:rsidR="009D5E3A" w:rsidRDefault="009D5E3A">
      <w:r>
        <w:separator/>
      </w:r>
    </w:p>
  </w:footnote>
  <w:footnote w:type="continuationSeparator" w:id="0">
    <w:p w14:paraId="4C853F93" w14:textId="77777777" w:rsidR="009D5E3A" w:rsidRDefault="009D5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69549" w14:textId="77777777" w:rsidR="00B47929" w:rsidRDefault="00222CEE" w:rsidP="00E91575">
    <w:pPr>
      <w:tabs>
        <w:tab w:val="left" w:pos="5529"/>
      </w:tabs>
      <w:spacing w:before="160"/>
      <w:ind w:right="2268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TSR - Metingen / Gevaarlijke atmosferen</w:t>
    </w:r>
  </w:p>
  <w:p w14:paraId="2A19E969" w14:textId="77777777" w:rsidR="00113736" w:rsidRPr="003D0918" w:rsidRDefault="00222CEE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5DC"/>
    <w:multiLevelType w:val="hybridMultilevel"/>
    <w:tmpl w:val="1ED8CED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B29B2"/>
    <w:multiLevelType w:val="hybridMultilevel"/>
    <w:tmpl w:val="881C39E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F0185"/>
    <w:multiLevelType w:val="hybridMultilevel"/>
    <w:tmpl w:val="25628B52"/>
    <w:lvl w:ilvl="0" w:tplc="4E86D40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FC229E"/>
    <w:multiLevelType w:val="hybridMultilevel"/>
    <w:tmpl w:val="87E00C2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D3A78"/>
    <w:multiLevelType w:val="hybridMultilevel"/>
    <w:tmpl w:val="981CD1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CB2F1E"/>
    <w:multiLevelType w:val="hybridMultilevel"/>
    <w:tmpl w:val="95729A4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03D55"/>
    <w:multiLevelType w:val="hybridMultilevel"/>
    <w:tmpl w:val="EB64FFA0"/>
    <w:lvl w:ilvl="0" w:tplc="B52E4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F3EE5"/>
    <w:multiLevelType w:val="hybridMultilevel"/>
    <w:tmpl w:val="3506755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C7B3C"/>
    <w:multiLevelType w:val="hybridMultilevel"/>
    <w:tmpl w:val="F9E0990C"/>
    <w:lvl w:ilvl="0" w:tplc="79260A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74FF6"/>
    <w:multiLevelType w:val="hybridMultilevel"/>
    <w:tmpl w:val="9F84FEA8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157AA"/>
    <w:multiLevelType w:val="hybridMultilevel"/>
    <w:tmpl w:val="14E4DA48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C0ABC"/>
    <w:multiLevelType w:val="hybridMultilevel"/>
    <w:tmpl w:val="EB6292A2"/>
    <w:lvl w:ilvl="0" w:tplc="417EED0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1225E"/>
    <w:multiLevelType w:val="hybridMultilevel"/>
    <w:tmpl w:val="9BEAC9A8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1799A"/>
    <w:multiLevelType w:val="hybridMultilevel"/>
    <w:tmpl w:val="5944D8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0505EFA"/>
    <w:multiLevelType w:val="hybridMultilevel"/>
    <w:tmpl w:val="BAC230B8"/>
    <w:lvl w:ilvl="0" w:tplc="E87ED1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1715E"/>
    <w:multiLevelType w:val="hybridMultilevel"/>
    <w:tmpl w:val="0CDCA6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9F71D0"/>
    <w:multiLevelType w:val="hybridMultilevel"/>
    <w:tmpl w:val="0358885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372FE"/>
    <w:multiLevelType w:val="hybridMultilevel"/>
    <w:tmpl w:val="9F8E9E9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23CF9"/>
    <w:multiLevelType w:val="hybridMultilevel"/>
    <w:tmpl w:val="DE36723A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E6227"/>
    <w:multiLevelType w:val="hybridMultilevel"/>
    <w:tmpl w:val="94004E78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47836"/>
    <w:multiLevelType w:val="hybridMultilevel"/>
    <w:tmpl w:val="FC7241AC"/>
    <w:lvl w:ilvl="0" w:tplc="0A245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22D41"/>
    <w:multiLevelType w:val="hybridMultilevel"/>
    <w:tmpl w:val="9B708E86"/>
    <w:lvl w:ilvl="0" w:tplc="58DC8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77C1A"/>
    <w:multiLevelType w:val="hybridMultilevel"/>
    <w:tmpl w:val="1B364C0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EE2220A">
      <w:numFmt w:val="bullet"/>
      <w:lvlText w:val=""/>
      <w:lvlJc w:val="left"/>
      <w:pPr>
        <w:ind w:left="2340" w:hanging="360"/>
      </w:pPr>
      <w:rPr>
        <w:rFonts w:ascii="Wingdings" w:eastAsia="Times New Roman" w:hAnsi="Wingdings" w:cs="ArialMT" w:hint="default"/>
        <w:b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917B6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25373"/>
    <w:multiLevelType w:val="hybridMultilevel"/>
    <w:tmpl w:val="794A67E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2A2229"/>
    <w:multiLevelType w:val="hybridMultilevel"/>
    <w:tmpl w:val="4316FCC2"/>
    <w:lvl w:ilvl="0" w:tplc="277E95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EA4413"/>
    <w:multiLevelType w:val="hybridMultilevel"/>
    <w:tmpl w:val="AB0090CC"/>
    <w:lvl w:ilvl="0" w:tplc="7C1CC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53B78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B0175"/>
    <w:multiLevelType w:val="multilevel"/>
    <w:tmpl w:val="325C5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30" w15:restartNumberingAfterBreak="0">
    <w:nsid w:val="563328CC"/>
    <w:multiLevelType w:val="hybridMultilevel"/>
    <w:tmpl w:val="C802ABEE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B14C5090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00298"/>
    <w:multiLevelType w:val="hybridMultilevel"/>
    <w:tmpl w:val="7662E94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E3D08"/>
    <w:multiLevelType w:val="hybridMultilevel"/>
    <w:tmpl w:val="2542AD56"/>
    <w:lvl w:ilvl="0" w:tplc="87181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E27D10"/>
    <w:multiLevelType w:val="hybridMultilevel"/>
    <w:tmpl w:val="247ADAC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D2A4E"/>
    <w:multiLevelType w:val="hybridMultilevel"/>
    <w:tmpl w:val="F678E1FC"/>
    <w:lvl w:ilvl="0" w:tplc="4246DC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A6825"/>
    <w:multiLevelType w:val="hybridMultilevel"/>
    <w:tmpl w:val="A0E2938C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B081B53"/>
    <w:multiLevelType w:val="hybridMultilevel"/>
    <w:tmpl w:val="795C44B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882148"/>
    <w:multiLevelType w:val="hybridMultilevel"/>
    <w:tmpl w:val="E26AA660"/>
    <w:lvl w:ilvl="0" w:tplc="EC0E96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4C3BBF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262EDC"/>
    <w:multiLevelType w:val="hybridMultilevel"/>
    <w:tmpl w:val="7B5C1EA8"/>
    <w:lvl w:ilvl="0" w:tplc="FE9AFFDE">
      <w:start w:val="2"/>
      <w:numFmt w:val="bullet"/>
      <w:lvlText w:val="&gt;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24B75"/>
    <w:multiLevelType w:val="hybridMultilevel"/>
    <w:tmpl w:val="F40ACFA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07A95"/>
    <w:multiLevelType w:val="hybridMultilevel"/>
    <w:tmpl w:val="2A008CC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96F80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C03E8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F66018A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DD20F5"/>
    <w:multiLevelType w:val="hybridMultilevel"/>
    <w:tmpl w:val="D5129DB2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D44A62"/>
    <w:multiLevelType w:val="hybridMultilevel"/>
    <w:tmpl w:val="B354178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4A6432"/>
    <w:multiLevelType w:val="hybridMultilevel"/>
    <w:tmpl w:val="5B24DF2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15EC4"/>
    <w:multiLevelType w:val="hybridMultilevel"/>
    <w:tmpl w:val="B922F462"/>
    <w:lvl w:ilvl="0" w:tplc="58DC8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4"/>
  </w:num>
  <w:num w:numId="4">
    <w:abstractNumId w:val="13"/>
  </w:num>
  <w:num w:numId="5">
    <w:abstractNumId w:val="24"/>
  </w:num>
  <w:num w:numId="6">
    <w:abstractNumId w:val="15"/>
  </w:num>
  <w:num w:numId="7">
    <w:abstractNumId w:val="4"/>
  </w:num>
  <w:num w:numId="8">
    <w:abstractNumId w:val="41"/>
  </w:num>
  <w:num w:numId="9">
    <w:abstractNumId w:val="28"/>
  </w:num>
  <w:num w:numId="10">
    <w:abstractNumId w:val="43"/>
  </w:num>
  <w:num w:numId="11">
    <w:abstractNumId w:val="22"/>
  </w:num>
  <w:num w:numId="12">
    <w:abstractNumId w:val="17"/>
  </w:num>
  <w:num w:numId="13">
    <w:abstractNumId w:val="40"/>
  </w:num>
  <w:num w:numId="14">
    <w:abstractNumId w:val="6"/>
  </w:num>
  <w:num w:numId="15">
    <w:abstractNumId w:val="5"/>
  </w:num>
  <w:num w:numId="16">
    <w:abstractNumId w:val="38"/>
  </w:num>
  <w:num w:numId="17">
    <w:abstractNumId w:val="23"/>
  </w:num>
  <w:num w:numId="18">
    <w:abstractNumId w:val="42"/>
  </w:num>
  <w:num w:numId="19">
    <w:abstractNumId w:val="2"/>
  </w:num>
  <w:num w:numId="20">
    <w:abstractNumId w:val="27"/>
  </w:num>
  <w:num w:numId="21">
    <w:abstractNumId w:val="39"/>
  </w:num>
  <w:num w:numId="22">
    <w:abstractNumId w:val="36"/>
  </w:num>
  <w:num w:numId="23">
    <w:abstractNumId w:val="35"/>
  </w:num>
  <w:num w:numId="24">
    <w:abstractNumId w:val="0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9"/>
  </w:num>
  <w:num w:numId="30">
    <w:abstractNumId w:val="16"/>
  </w:num>
  <w:num w:numId="31">
    <w:abstractNumId w:val="31"/>
  </w:num>
  <w:num w:numId="32">
    <w:abstractNumId w:val="45"/>
  </w:num>
  <w:num w:numId="33">
    <w:abstractNumId w:val="21"/>
  </w:num>
  <w:num w:numId="34">
    <w:abstractNumId w:val="20"/>
  </w:num>
  <w:num w:numId="35">
    <w:abstractNumId w:val="26"/>
  </w:num>
  <w:num w:numId="36">
    <w:abstractNumId w:val="32"/>
  </w:num>
  <w:num w:numId="37">
    <w:abstractNumId w:val="37"/>
  </w:num>
  <w:num w:numId="38">
    <w:abstractNumId w:val="8"/>
  </w:num>
  <w:num w:numId="39">
    <w:abstractNumId w:val="30"/>
  </w:num>
  <w:num w:numId="40">
    <w:abstractNumId w:val="12"/>
  </w:num>
  <w:num w:numId="41">
    <w:abstractNumId w:val="19"/>
  </w:num>
  <w:num w:numId="42">
    <w:abstractNumId w:val="33"/>
  </w:num>
  <w:num w:numId="43">
    <w:abstractNumId w:val="25"/>
  </w:num>
  <w:num w:numId="44">
    <w:abstractNumId w:val="14"/>
  </w:num>
  <w:num w:numId="45">
    <w:abstractNumId w:val="34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4513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BE"/>
    <w:rsid w:val="0004255E"/>
    <w:rsid w:val="0004742B"/>
    <w:rsid w:val="00060F2C"/>
    <w:rsid w:val="0006506B"/>
    <w:rsid w:val="00065E6B"/>
    <w:rsid w:val="00081F67"/>
    <w:rsid w:val="00086404"/>
    <w:rsid w:val="000A25F3"/>
    <w:rsid w:val="000A499B"/>
    <w:rsid w:val="000B3501"/>
    <w:rsid w:val="000B38C5"/>
    <w:rsid w:val="000D2EB5"/>
    <w:rsid w:val="000D7D82"/>
    <w:rsid w:val="00110DB9"/>
    <w:rsid w:val="00130F72"/>
    <w:rsid w:val="001363B8"/>
    <w:rsid w:val="001454C3"/>
    <w:rsid w:val="00183DE2"/>
    <w:rsid w:val="0019763B"/>
    <w:rsid w:val="001A0C8A"/>
    <w:rsid w:val="001E39D8"/>
    <w:rsid w:val="00204EF0"/>
    <w:rsid w:val="00211025"/>
    <w:rsid w:val="00222CEE"/>
    <w:rsid w:val="0026222E"/>
    <w:rsid w:val="002A3468"/>
    <w:rsid w:val="002B6BA0"/>
    <w:rsid w:val="002E6D5A"/>
    <w:rsid w:val="002E7BD0"/>
    <w:rsid w:val="002F36E5"/>
    <w:rsid w:val="00330D4B"/>
    <w:rsid w:val="00330F2A"/>
    <w:rsid w:val="00332ED5"/>
    <w:rsid w:val="0034779E"/>
    <w:rsid w:val="003505EE"/>
    <w:rsid w:val="00356A09"/>
    <w:rsid w:val="003668D3"/>
    <w:rsid w:val="003B0114"/>
    <w:rsid w:val="003C43FC"/>
    <w:rsid w:val="003D1B36"/>
    <w:rsid w:val="003E25F5"/>
    <w:rsid w:val="00404A55"/>
    <w:rsid w:val="00433FF3"/>
    <w:rsid w:val="004577AE"/>
    <w:rsid w:val="00463121"/>
    <w:rsid w:val="0047768E"/>
    <w:rsid w:val="004914BF"/>
    <w:rsid w:val="00496568"/>
    <w:rsid w:val="005058C4"/>
    <w:rsid w:val="005361B5"/>
    <w:rsid w:val="00540D15"/>
    <w:rsid w:val="00541A6F"/>
    <w:rsid w:val="00545B17"/>
    <w:rsid w:val="00563ED7"/>
    <w:rsid w:val="005746E5"/>
    <w:rsid w:val="005775C6"/>
    <w:rsid w:val="00577F63"/>
    <w:rsid w:val="005945A9"/>
    <w:rsid w:val="005A3360"/>
    <w:rsid w:val="005B1551"/>
    <w:rsid w:val="005B7C1E"/>
    <w:rsid w:val="005E4274"/>
    <w:rsid w:val="00636189"/>
    <w:rsid w:val="00636AA2"/>
    <w:rsid w:val="006540F5"/>
    <w:rsid w:val="006635C0"/>
    <w:rsid w:val="0067571F"/>
    <w:rsid w:val="0069601F"/>
    <w:rsid w:val="00706034"/>
    <w:rsid w:val="007316EC"/>
    <w:rsid w:val="00732F69"/>
    <w:rsid w:val="007530A9"/>
    <w:rsid w:val="00776158"/>
    <w:rsid w:val="007B7F90"/>
    <w:rsid w:val="007C2747"/>
    <w:rsid w:val="007C5D48"/>
    <w:rsid w:val="007D3051"/>
    <w:rsid w:val="007E5320"/>
    <w:rsid w:val="007F5519"/>
    <w:rsid w:val="00816EBB"/>
    <w:rsid w:val="0083417D"/>
    <w:rsid w:val="00844B18"/>
    <w:rsid w:val="0089515C"/>
    <w:rsid w:val="008C2F75"/>
    <w:rsid w:val="008E3CA6"/>
    <w:rsid w:val="008E579E"/>
    <w:rsid w:val="008F0AF0"/>
    <w:rsid w:val="008F293A"/>
    <w:rsid w:val="00900678"/>
    <w:rsid w:val="009032F8"/>
    <w:rsid w:val="009222D2"/>
    <w:rsid w:val="00951771"/>
    <w:rsid w:val="0096417C"/>
    <w:rsid w:val="00965111"/>
    <w:rsid w:val="00970100"/>
    <w:rsid w:val="00976AE5"/>
    <w:rsid w:val="00994325"/>
    <w:rsid w:val="009D2847"/>
    <w:rsid w:val="009D5E3A"/>
    <w:rsid w:val="009D732B"/>
    <w:rsid w:val="009E3780"/>
    <w:rsid w:val="009E7072"/>
    <w:rsid w:val="009F0560"/>
    <w:rsid w:val="009F6DD4"/>
    <w:rsid w:val="00A429CA"/>
    <w:rsid w:val="00A73540"/>
    <w:rsid w:val="00A8377A"/>
    <w:rsid w:val="00AE1BA6"/>
    <w:rsid w:val="00B074C4"/>
    <w:rsid w:val="00B213A7"/>
    <w:rsid w:val="00B42C70"/>
    <w:rsid w:val="00B5581F"/>
    <w:rsid w:val="00B62FAF"/>
    <w:rsid w:val="00B62FEF"/>
    <w:rsid w:val="00B76092"/>
    <w:rsid w:val="00BA44CB"/>
    <w:rsid w:val="00BD0405"/>
    <w:rsid w:val="00BF739A"/>
    <w:rsid w:val="00C078C4"/>
    <w:rsid w:val="00C11B52"/>
    <w:rsid w:val="00C223B0"/>
    <w:rsid w:val="00C34D43"/>
    <w:rsid w:val="00C4702B"/>
    <w:rsid w:val="00C66691"/>
    <w:rsid w:val="00C7636A"/>
    <w:rsid w:val="00C772CC"/>
    <w:rsid w:val="00C86C31"/>
    <w:rsid w:val="00CA4EEE"/>
    <w:rsid w:val="00CA641D"/>
    <w:rsid w:val="00CE2E1E"/>
    <w:rsid w:val="00D32181"/>
    <w:rsid w:val="00DA03CD"/>
    <w:rsid w:val="00DA3C69"/>
    <w:rsid w:val="00DA4C8B"/>
    <w:rsid w:val="00DC036B"/>
    <w:rsid w:val="00DD3003"/>
    <w:rsid w:val="00DD7176"/>
    <w:rsid w:val="00DE5E48"/>
    <w:rsid w:val="00DF09C5"/>
    <w:rsid w:val="00DF42B6"/>
    <w:rsid w:val="00E02B62"/>
    <w:rsid w:val="00E13A31"/>
    <w:rsid w:val="00E2273A"/>
    <w:rsid w:val="00E27F02"/>
    <w:rsid w:val="00E4608F"/>
    <w:rsid w:val="00E50709"/>
    <w:rsid w:val="00E66BCC"/>
    <w:rsid w:val="00EA4B78"/>
    <w:rsid w:val="00EB695F"/>
    <w:rsid w:val="00EC1167"/>
    <w:rsid w:val="00EC32DA"/>
    <w:rsid w:val="00ED31C9"/>
    <w:rsid w:val="00EE34B4"/>
    <w:rsid w:val="00EF0C63"/>
    <w:rsid w:val="00F019A1"/>
    <w:rsid w:val="00F25FB5"/>
    <w:rsid w:val="00F64162"/>
    <w:rsid w:val="00F83E3D"/>
    <w:rsid w:val="00FA72BE"/>
    <w:rsid w:val="00FB16BE"/>
    <w:rsid w:val="00FC5234"/>
    <w:rsid w:val="00FD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C853F38"/>
  <w15:docId w15:val="{BD70F775-E624-4569-827B-BF3CA1A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46"/>
      </w:numPr>
      <w:spacing w:before="360" w:after="120" w:line="300" w:lineRule="exact"/>
      <w:outlineLvl w:val="0"/>
    </w:pPr>
    <w:rPr>
      <w:rFonts w:cs="Arial"/>
      <w:b/>
      <w:bCs/>
      <w:sz w:val="24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46"/>
      </w:numPr>
      <w:tabs>
        <w:tab w:val="left" w:pos="576"/>
      </w:tabs>
      <w:spacing w:after="120" w:line="300" w:lineRule="exact"/>
      <w:outlineLvl w:val="1"/>
    </w:pPr>
    <w:rPr>
      <w:rFonts w:cs="Arial"/>
      <w:b/>
      <w:bCs/>
      <w:iCs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46"/>
      </w:numPr>
      <w:spacing w:after="120" w:line="300" w:lineRule="exact"/>
      <w:outlineLvl w:val="2"/>
    </w:pPr>
    <w:rPr>
      <w:rFonts w:cs="Arial"/>
      <w:b/>
      <w:bCs/>
      <w:sz w:val="24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46"/>
      </w:numPr>
      <w:spacing w:before="240" w:after="60"/>
      <w:outlineLvl w:val="3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46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46"/>
      </w:numPr>
      <w:spacing w:before="240" w:after="60"/>
      <w:outlineLvl w:val="5"/>
    </w:pPr>
    <w:rPr>
      <w:rFonts w:ascii="Times New Roman" w:hAnsi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46"/>
      </w:numPr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46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46"/>
      </w:numPr>
      <w:spacing w:before="240" w:after="60"/>
      <w:outlineLvl w:val="8"/>
    </w:pPr>
    <w:rPr>
      <w:rFonts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620"/>
    </w:pPr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58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Pr>
      <w:rFonts w:ascii="Arial" w:hAnsi="Arial"/>
      <w:sz w:val="22"/>
      <w:szCs w:val="22"/>
      <w:lang w:val="en-GB" w:eastAsia="en-GB"/>
    </w:rPr>
  </w:style>
  <w:style w:type="character" w:customStyle="1" w:styleId="HeaderChar">
    <w:name w:val="Header Char"/>
    <w:link w:val="Header"/>
    <w:rPr>
      <w:rFonts w:ascii="Arial" w:hAnsi="Arial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com/url?sa=i&amp;url=https%3A%2F%2Fwww.conrad.be%2Fp%2Fgreisinger-gox-100-zuurstofmeter-0-100-121501&amp;psig=AOvVaw2JDUnEPDmrSVPDgn5VumB4&amp;ust=1586356771719000&amp;source=images&amp;cd=vfe&amp;ved=0CAIQjRxqFwoTCLiWx9HF1ugCFQAAAAAdAAAAABA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url?sa=i&amp;url=https%3A%2F%2Fwww.pictogrammenwinkel.nl%2Fgeboden-c-178%2Fstickers-c-178_180%2Fmeter-verplicht-c-178_180_685%2F&amp;psig=AOvVaw0bXyHl4UOctrVTiEar0jM7&amp;ust=1586357861825000&amp;source=images&amp;cd=vfe&amp;ved=0CAIQjRxqFwoTCNDwlNnJ1ugCFQAAAAAdAAAAABAF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2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E24EDB0-2CDC-43F7-95E5-32DCE95E7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110BE-7903-4E48-97CB-7C3DC0F5B29E}">
  <ds:schemaRefs>
    <ds:schemaRef ds:uri="http://schemas.microsoft.com/sharepoint/v3"/>
    <ds:schemaRef ds:uri="http://purl.org/dc/terms/"/>
    <ds:schemaRef ds:uri="0344af80-88ed-49c6-8710-a509718edc8d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6108514-05C6-4486-936D-E8666FF03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910264-611F-4E06-95F1-DA26C4104C17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405</Words>
  <Characters>2313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TSR - Metingen / Gevaarlijke atmosferen</vt:lpstr>
      <vt:lpstr>Project</vt:lpstr>
    </vt:vector>
  </TitlesOfParts>
  <Company>Kuwait Petroleum North West Europe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TSR - Metingen / Gevaarlijke atmosferen</dc:title>
  <dc:creator>panimmen</dc:creator>
  <cp:lastModifiedBy>An Cornelis</cp:lastModifiedBy>
  <cp:revision>2</cp:revision>
  <cp:lastPrinted>2012-03-27T12:53:00Z</cp:lastPrinted>
  <dcterms:created xsi:type="dcterms:W3CDTF">2020-07-13T11:07:00Z</dcterms:created>
  <dcterms:modified xsi:type="dcterms:W3CDTF">2020-07-13T11:07:00Z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KPNWE.WI.11.HSCO.076.docx</vt:lpwstr>
  </property>
</Properties>
</file>